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firstLine="1"/>
        <w:jc w:val="both"/>
        <w:rPr>
          <w:rFonts w:ascii="Arial" w:cs="Arial" w:eastAsia="Arial" w:hAnsi="Arial"/>
          <w:b w:val="1"/>
          <w:sz w:val="34"/>
          <w:szCs w:val="34"/>
        </w:rPr>
      </w:pPr>
      <w:bookmarkStart w:colFirst="0" w:colLast="0" w:name="_heading=h.38k8yinzb316" w:id="0"/>
      <w:bookmarkEnd w:id="0"/>
      <w:r w:rsidDel="00000000" w:rsidR="00000000" w:rsidRPr="00000000">
        <w:rPr>
          <w:rFonts w:ascii="Arial" w:cs="Arial" w:eastAsia="Arial" w:hAnsi="Arial"/>
          <w:b w:val="1"/>
          <w:sz w:val="34"/>
          <w:szCs w:val="34"/>
          <w:rtl w:val="0"/>
        </w:rPr>
        <w:t xml:space="preserve">Subsecretaría de Coordinación y Logística Operativa.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704850</wp:posOffset>
                </wp:positionV>
                <wp:extent cx="5885815" cy="579088"/>
                <wp:effectExtent b="0" l="0" r="0" t="0"/>
                <wp:wrapTopAndBottom distB="0" distT="0"/>
                <wp:docPr id="4" name=""/>
                <a:graphic>
                  <a:graphicData uri="http://schemas.microsoft.com/office/word/2010/wordprocessingGroup">
                    <wpg:wgp>
                      <wpg:cNvGrpSpPr/>
                      <wpg:grpSpPr>
                        <a:xfrm>
                          <a:off x="2403225" y="3510500"/>
                          <a:ext cx="5885815" cy="579088"/>
                          <a:chOff x="2403225" y="3510500"/>
                          <a:chExt cx="5885600" cy="539150"/>
                        </a:xfrm>
                      </wpg:grpSpPr>
                      <wpg:grpSp>
                        <wpg:cNvGrpSpPr/>
                        <wpg:grpSpPr>
                          <a:xfrm>
                            <a:off x="2403237" y="3510513"/>
                            <a:ext cx="5885586" cy="539114"/>
                            <a:chOff x="2402913" y="3510124"/>
                            <a:chExt cx="5886175" cy="539762"/>
                          </a:xfrm>
                        </wpg:grpSpPr>
                        <wps:wsp>
                          <wps:cNvSpPr/>
                          <wps:cNvPr id="3" name="Shape 3"/>
                          <wps:spPr>
                            <a:xfrm>
                              <a:off x="2402913" y="3510124"/>
                              <a:ext cx="5886175" cy="53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02913" y="3510124"/>
                              <a:ext cx="5886175" cy="539762"/>
                              <a:chOff x="2311653" y="3594580"/>
                              <a:chExt cx="6068695" cy="401298"/>
                            </a:xfrm>
                          </wpg:grpSpPr>
                          <wps:wsp>
                            <wps:cNvSpPr/>
                            <wps:cNvPr id="5" name="Shape 5"/>
                            <wps:spPr>
                              <a:xfrm>
                                <a:off x="2311653" y="3594580"/>
                                <a:ext cx="6068675" cy="40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01298"/>
                                <a:chOff x="0" y="0"/>
                                <a:chExt cx="6068695" cy="401298"/>
                              </a:xfrm>
                            </wpg:grpSpPr>
                            <wps:wsp>
                              <wps:cNvSpPr/>
                              <wps:cNvPr id="7" name="Shape 7"/>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8" name="Shape 8"/>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9" name="Shape 9"/>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80600" y="42498"/>
                                  <a:ext cx="5988051" cy="358800"/>
                                </a:xfrm>
                                <a:prstGeom prst="rect">
                                  <a:avLst/>
                                </a:prstGeom>
                                <a:noFill/>
                                <a:ln>
                                  <a:noFill/>
                                </a:ln>
                              </wps:spPr>
                              <wps:txbx>
                                <w:txbxContent>
                                  <w:p w:rsidR="00000000" w:rsidDel="00000000" w:rsidP="00000000" w:rsidRDefault="00000000" w:rsidRPr="00000000">
                                    <w:pPr>
                                      <w:spacing w:after="0" w:before="160" w:line="240"/>
                                      <w:ind w:left="27.000000476837158" w:right="0" w:firstLine="54.000000953674316"/>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manejo y cuidado seguro de los alimentos.</w:t>
                                    </w:r>
                                  </w:p>
                                </w:txbxContent>
                              </wps:txbx>
                              <wps:bodyPr anchorCtr="0" anchor="t" bIns="0" lIns="0" spcFirstLastPara="1" rIns="0" wrap="square" tIns="0">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704850</wp:posOffset>
                </wp:positionV>
                <wp:extent cx="5885815" cy="579088"/>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5815" cy="579088"/>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rtl w:val="0"/>
        </w:rPr>
        <w:t xml:space="preserve">La Dirección de Seguridad e Higiene de los Alimentos perteneciente a la Subsecretaría</w:t>
      </w:r>
      <w:r w:rsidDel="00000000" w:rsidR="00000000" w:rsidRPr="00000000">
        <w:rPr>
          <w:rFonts w:ascii="Arial" w:cs="Arial" w:eastAsia="Arial" w:hAnsi="Arial"/>
          <w:color w:val="000000"/>
          <w:rtl w:val="0"/>
        </w:rPr>
        <w:t xml:space="preserve"> de Coordinación y Logística Operativa de</w:t>
      </w:r>
      <w:r w:rsidDel="00000000" w:rsidR="00000000" w:rsidRPr="00000000">
        <w:rPr>
          <w:rFonts w:ascii="Arial" w:cs="Arial" w:eastAsia="Arial" w:hAnsi="Arial"/>
          <w:rtl w:val="0"/>
        </w:rPr>
        <w:t xml:space="preserve">l Ministerio de Seguridad propone la capacitación del personal policial que se encuentra realizando tareas que conlleven la manipulación de alimentos, con el fin profundizar la </w:t>
      </w:r>
      <w:r w:rsidDel="00000000" w:rsidR="00000000" w:rsidRPr="00000000">
        <w:rPr>
          <w:rFonts w:ascii="Arial" w:cs="Arial" w:eastAsia="Arial" w:hAnsi="Arial"/>
          <w:color w:val="000000"/>
          <w:rtl w:val="0"/>
        </w:rPr>
        <w:t xml:space="preserve">adqu</w:t>
      </w:r>
      <w:r w:rsidDel="00000000" w:rsidR="00000000" w:rsidRPr="00000000">
        <w:rPr>
          <w:rFonts w:ascii="Arial" w:cs="Arial" w:eastAsia="Arial" w:hAnsi="Arial"/>
          <w:rtl w:val="0"/>
        </w:rPr>
        <w:t xml:space="preserve">isición de</w:t>
      </w:r>
      <w:r w:rsidDel="00000000" w:rsidR="00000000" w:rsidRPr="00000000">
        <w:rPr>
          <w:rFonts w:ascii="Arial" w:cs="Arial" w:eastAsia="Arial" w:hAnsi="Arial"/>
          <w:color w:val="000000"/>
          <w:rtl w:val="0"/>
        </w:rPr>
        <w:t xml:space="preserve"> conocimientos sobre los cuidados seguros de los alimentos, desde su origen como materia prima hasta la obtención de un producto terminado para el consumo, promoviendo el conocimiento sobre la importancia del manejo higiénico de los alimentos para la salud del personal.</w:t>
      </w:r>
    </w:p>
    <w:p w:rsidR="00000000" w:rsidDel="00000000" w:rsidP="00000000" w:rsidRDefault="00000000" w:rsidRPr="00000000" w14:paraId="00000004">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6">
      <w:pPr>
        <w:spacing w:line="360" w:lineRule="auto"/>
        <w:jc w:val="both"/>
        <w:rPr>
          <w:rFonts w:ascii="Arial" w:cs="Arial" w:eastAsia="Arial" w:hAnsi="Arial"/>
          <w:color w:val="000000"/>
        </w:rPr>
      </w:pPr>
      <w:bookmarkStart w:colFirst="0" w:colLast="0" w:name="_heading=h.o9ppw7rcxz7s" w:id="1"/>
      <w:bookmarkEnd w:id="1"/>
      <w:r w:rsidDel="00000000" w:rsidR="00000000" w:rsidRPr="00000000">
        <w:rPr>
          <w:rFonts w:ascii="Arial" w:cs="Arial" w:eastAsia="Arial" w:hAnsi="Arial"/>
          <w:color w:val="000000"/>
          <w:rtl w:val="0"/>
        </w:rPr>
        <w:t xml:space="preserve">A todo el personal policial que se encuentre realizando tareas que requieran la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anipulación de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limentos, en cualquier etapa del proceso, ya sea desde, recepción, </w:t>
      </w:r>
      <w:r w:rsidDel="00000000" w:rsidR="00000000" w:rsidRPr="00000000">
        <w:rPr>
          <w:rFonts w:ascii="Arial" w:cs="Arial" w:eastAsia="Arial" w:hAnsi="Arial"/>
          <w:rtl w:val="0"/>
        </w:rPr>
        <w:t xml:space="preserve">estiba</w:t>
      </w:r>
      <w:r w:rsidDel="00000000" w:rsidR="00000000" w:rsidRPr="00000000">
        <w:rPr>
          <w:rFonts w:ascii="Arial" w:cs="Arial" w:eastAsia="Arial" w:hAnsi="Arial"/>
          <w:color w:val="000000"/>
          <w:rtl w:val="0"/>
        </w:rPr>
        <w:t xml:space="preserve">, elaboración, traslado y/o servicio. Teniendo como finalidad que se adquieran los conocimientos básicos y la puesta en práctica de los manejos y cuidados seguros de los alimentos.</w:t>
      </w:r>
    </w:p>
    <w:p w:rsidR="00000000" w:rsidDel="00000000" w:rsidP="00000000" w:rsidRDefault="00000000" w:rsidRPr="00000000" w14:paraId="00000007">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color w:val="000000"/>
          <w:rtl w:val="0"/>
        </w:rPr>
        <w:t xml:space="preserve">presencial</w:t>
      </w:r>
      <w:r w:rsidDel="00000000" w:rsidR="00000000" w:rsidRPr="00000000">
        <w:rPr>
          <w:rFonts w:ascii="Arial" w:cs="Arial" w:eastAsia="Arial" w:hAnsi="Arial"/>
          <w:rtl w:val="0"/>
        </w:rPr>
        <w:t xml:space="preserve">.</w:t>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w:t>
      </w:r>
      <w:r w:rsidDel="00000000" w:rsidR="00000000" w:rsidRPr="00000000">
        <w:rPr>
          <w:rFonts w:ascii="Arial" w:cs="Arial" w:eastAsia="Arial" w:hAnsi="Arial"/>
          <w:color w:val="000000"/>
          <w:rtl w:val="0"/>
        </w:rPr>
        <w:t xml:space="preserve"> 12 horas reloj</w:t>
      </w:r>
      <w:r w:rsidDel="00000000" w:rsidR="00000000" w:rsidRPr="00000000">
        <w:rPr>
          <w:rFonts w:ascii="Arial" w:cs="Arial" w:eastAsia="Arial" w:hAnsi="Arial"/>
          <w:rtl w:val="0"/>
        </w:rPr>
        <w:t xml:space="preserve">.</w:t>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Se prevén 1 ediciones.</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00D">
      <w:pPr>
        <w:pStyle w:val="Heading1"/>
        <w:spacing w:line="360"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Fecha probable de inicio 7 de mayo, fecha probable de finalización 21 de mayo.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color w:val="000000"/>
          <w:rtl w:val="0"/>
        </w:rPr>
        <w:t xml:space="preserve">40 asistentes. </w:t>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2" w:line="360" w:lineRule="auto"/>
        <w:ind w:left="425.19685039370086" w:right="0" w:hanging="360"/>
        <w:jc w:val="both"/>
        <w:rPr>
          <w:rFonts w:ascii="Arial" w:cs="Arial" w:eastAsia="Arial" w:hAnsi="Arial"/>
          <w:b w:val="0"/>
          <w:i w:val="0"/>
          <w:smallCaps w:val="0"/>
          <w:strike w:val="0"/>
          <w:color w:val="000000"/>
          <w:sz w:val="22"/>
          <w:szCs w:val="22"/>
          <w:highlight w:val="white"/>
          <w:u w:val="none"/>
          <w:vertAlign w:val="baseline"/>
        </w:rPr>
      </w:pPr>
      <w:bookmarkStart w:colFirst="0" w:colLast="0" w:name="_heading=h.h5s5tr8ldvdu"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0221-4898639.</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2" w:line="360" w:lineRule="auto"/>
        <w:ind w:left="425.19685039370086"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bromatologialaplata@outlook.com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5.19685039370086"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UnresolvedMention" w:customStyle="1">
    <w:name w:val="Unresolved Mention"/>
    <w:basedOn w:val="Fuentedeprrafopredeter"/>
    <w:uiPriority w:val="99"/>
    <w:semiHidden w:val="1"/>
    <w:unhideWhenUsed w:val="1"/>
    <w:rsid w:val="005D5E7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romatologialaplata@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OLbLZbDqB4cY7rw5V2Rj8Z6xQ==">CgMxLjAyDmguMzhrOHlpbnpiMzE2Mg5oLm85cHB3N3JjeHo3czIOaC5oNXM1dHI4bGR2ZHU4AHIhMUN3SGtLX2dHTWhKU1MxZURfNXhXZlh2QVlsYmROMmRt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2025-05-05T20:27:00Z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